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10" w:rsidRPr="00F56101" w:rsidRDefault="004023E1" w:rsidP="00143610">
      <w:pPr>
        <w:pStyle w:val="a4"/>
        <w:adjustRightInd w:val="0"/>
        <w:snapToGrid w:val="0"/>
        <w:spacing w:beforeLines="0" w:before="240" w:afterLines="0" w:after="240" w:line="288" w:lineRule="auto"/>
        <w:ind w:firstLine="420"/>
        <w:rPr>
          <w:sz w:val="21"/>
        </w:rPr>
      </w:pPr>
      <w:bookmarkStart w:id="0" w:name="_GoBack"/>
      <w:r>
        <w:rPr>
          <w:sz w:val="21"/>
        </w:rPr>
        <w:t>Supplementary Table 1</w:t>
      </w:r>
      <w:bookmarkEnd w:id="0"/>
      <w:r w:rsidR="00143610" w:rsidRPr="00F56101">
        <w:rPr>
          <w:sz w:val="21"/>
        </w:rPr>
        <w:t>. Emergency airway management and the gum elastic bougie: Summary of the literature review</w:t>
      </w:r>
    </w:p>
    <w:p w:rsidR="00071842" w:rsidRPr="00143610" w:rsidRDefault="00071842">
      <w:pPr>
        <w:ind w:firstLine="420"/>
        <w:rPr>
          <w:rFonts w:eastAsia="等线"/>
        </w:rPr>
      </w:pPr>
    </w:p>
    <w:tbl>
      <w:tblPr>
        <w:tblStyle w:val="a3"/>
        <w:tblW w:w="15553" w:type="dxa"/>
        <w:tblLayout w:type="fixed"/>
        <w:tblLook w:val="04A0" w:firstRow="1" w:lastRow="0" w:firstColumn="1" w:lastColumn="0" w:noHBand="0" w:noVBand="1"/>
      </w:tblPr>
      <w:tblGrid>
        <w:gridCol w:w="1255"/>
        <w:gridCol w:w="1622"/>
        <w:gridCol w:w="958"/>
        <w:gridCol w:w="709"/>
        <w:gridCol w:w="1276"/>
        <w:gridCol w:w="1653"/>
        <w:gridCol w:w="1276"/>
        <w:gridCol w:w="1276"/>
        <w:gridCol w:w="1701"/>
        <w:gridCol w:w="2835"/>
        <w:gridCol w:w="992"/>
      </w:tblGrid>
      <w:tr w:rsidR="00143610" w:rsidRPr="00143610" w:rsidTr="0002518A">
        <w:trPr>
          <w:trHeight w:val="20"/>
          <w:tblHeader/>
        </w:trPr>
        <w:tc>
          <w:tcPr>
            <w:tcW w:w="1255"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bookmarkStart w:id="1" w:name="_Hlk106087882"/>
            <w:r w:rsidRPr="00143610">
              <w:rPr>
                <w:b/>
                <w:bCs/>
                <w:sz w:val="18"/>
                <w:szCs w:val="18"/>
              </w:rPr>
              <w:t>Reference</w:t>
            </w:r>
          </w:p>
        </w:tc>
        <w:tc>
          <w:tcPr>
            <w:tcW w:w="1622"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Study design</w:t>
            </w:r>
          </w:p>
        </w:tc>
        <w:tc>
          <w:tcPr>
            <w:tcW w:w="958" w:type="dxa"/>
            <w:shd w:val="clear" w:color="auto" w:fill="E7E6E6" w:themeFill="background2"/>
          </w:tcPr>
          <w:p w:rsidR="00143610" w:rsidRPr="00143610" w:rsidRDefault="00143610" w:rsidP="0002518A">
            <w:pPr>
              <w:ind w:firstLineChars="0" w:firstLine="0"/>
              <w:jc w:val="left"/>
              <w:rPr>
                <w:rFonts w:eastAsia="Yu Mincho"/>
                <w:b/>
                <w:bCs/>
                <w:sz w:val="18"/>
                <w:szCs w:val="18"/>
                <w:lang w:eastAsia="ja-JP"/>
              </w:rPr>
            </w:pPr>
          </w:p>
          <w:p w:rsidR="00143610" w:rsidRPr="00143610" w:rsidRDefault="00143610" w:rsidP="0002518A">
            <w:pPr>
              <w:ind w:firstLineChars="0" w:firstLine="0"/>
              <w:jc w:val="left"/>
              <w:rPr>
                <w:b/>
                <w:bCs/>
                <w:sz w:val="18"/>
                <w:szCs w:val="18"/>
              </w:rPr>
            </w:pPr>
            <w:r w:rsidRPr="00143610">
              <w:rPr>
                <w:rFonts w:eastAsia="Yu Mincho"/>
                <w:b/>
                <w:bCs/>
                <w:sz w:val="18"/>
                <w:szCs w:val="18"/>
                <w:lang w:eastAsia="ja-JP"/>
              </w:rPr>
              <w:t>Country</w:t>
            </w:r>
          </w:p>
        </w:tc>
        <w:tc>
          <w:tcPr>
            <w:tcW w:w="709"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N</w:t>
            </w:r>
          </w:p>
        </w:tc>
        <w:tc>
          <w:tcPr>
            <w:tcW w:w="1276"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Setting/</w:t>
            </w:r>
            <w:r w:rsidRPr="00143610">
              <w:rPr>
                <w:b/>
                <w:bCs/>
                <w:sz w:val="18"/>
                <w:szCs w:val="18"/>
              </w:rPr>
              <w:br/>
              <w:t>simulation model</w:t>
            </w:r>
          </w:p>
        </w:tc>
        <w:tc>
          <w:tcPr>
            <w:tcW w:w="1653"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Participants</w:t>
            </w:r>
          </w:p>
        </w:tc>
        <w:tc>
          <w:tcPr>
            <w:tcW w:w="1276"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Exposure/</w:t>
            </w:r>
            <w:r w:rsidRPr="00143610">
              <w:rPr>
                <w:b/>
                <w:bCs/>
                <w:sz w:val="18"/>
                <w:szCs w:val="18"/>
              </w:rPr>
              <w:br/>
              <w:t>intervention group</w:t>
            </w:r>
          </w:p>
        </w:tc>
        <w:tc>
          <w:tcPr>
            <w:tcW w:w="1276"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 xml:space="preserve">Control </w:t>
            </w:r>
            <w:r w:rsidRPr="00143610">
              <w:rPr>
                <w:b/>
                <w:bCs/>
                <w:sz w:val="18"/>
                <w:szCs w:val="18"/>
              </w:rPr>
              <w:br/>
              <w:t>group</w:t>
            </w:r>
          </w:p>
        </w:tc>
        <w:tc>
          <w:tcPr>
            <w:tcW w:w="1701"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Primary outcome(s)</w:t>
            </w:r>
          </w:p>
        </w:tc>
        <w:tc>
          <w:tcPr>
            <w:tcW w:w="2835"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r w:rsidRPr="00143610">
              <w:rPr>
                <w:b/>
                <w:bCs/>
                <w:sz w:val="18"/>
                <w:szCs w:val="18"/>
              </w:rPr>
              <w:t>Main findings</w:t>
            </w:r>
          </w:p>
        </w:tc>
        <w:tc>
          <w:tcPr>
            <w:tcW w:w="992" w:type="dxa"/>
            <w:shd w:val="clear" w:color="auto" w:fill="E7E6E6" w:themeFill="background2"/>
            <w:noWrap/>
            <w:vAlign w:val="center"/>
            <w:hideMark/>
          </w:tcPr>
          <w:p w:rsidR="00143610" w:rsidRPr="00143610" w:rsidRDefault="00143610" w:rsidP="0002518A">
            <w:pPr>
              <w:ind w:firstLineChars="0" w:firstLine="0"/>
              <w:jc w:val="left"/>
              <w:rPr>
                <w:b/>
                <w:bCs/>
                <w:sz w:val="18"/>
                <w:szCs w:val="18"/>
              </w:rPr>
            </w:pPr>
            <w:proofErr w:type="spellStart"/>
            <w:r w:rsidRPr="00143610">
              <w:rPr>
                <w:b/>
                <w:bCs/>
                <w:sz w:val="18"/>
                <w:szCs w:val="18"/>
              </w:rPr>
              <w:t>LOE</w:t>
            </w:r>
            <w:r w:rsidRPr="00143610">
              <w:rPr>
                <w:b/>
                <w:bCs/>
                <w:sz w:val="18"/>
                <w:szCs w:val="18"/>
                <w:vertAlign w:val="superscript"/>
              </w:rPr>
              <w:t>a</w:t>
            </w:r>
            <w:proofErr w:type="spellEnd"/>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27</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1594</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Prehospital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undergoing prehospital 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(77%) than non-BAETI group (70%)</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28</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sz w:val="18"/>
                <w:szCs w:val="18"/>
              </w:rPr>
            </w:pPr>
            <w:r w:rsidRPr="00143610">
              <w:rPr>
                <w:sz w:val="18"/>
                <w:szCs w:val="18"/>
              </w:rPr>
              <w:t>Finland</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781</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Prehospital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(98.2%) than non-BAETI group (85.7%)</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29</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RCT</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757</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ED</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undergoing</w:t>
            </w:r>
            <w:r w:rsidRPr="00143610">
              <w:rPr>
                <w:rFonts w:eastAsia="MS Mincho"/>
                <w:sz w:val="18"/>
                <w:szCs w:val="18"/>
                <w:lang w:eastAsia="ja-JP"/>
              </w:rPr>
              <w:t xml:space="preserve"> </w:t>
            </w:r>
            <w:r w:rsidRPr="00143610">
              <w:rPr>
                <w:sz w:val="18"/>
                <w:szCs w:val="18"/>
              </w:rPr>
              <w:t>ETI in ED</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(96%) than non-BAETI group (82%)</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1B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30</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543</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ED</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undergoing ETI in ED</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(95%) than non-BAETI group (86%)</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31</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RCT</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1102</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ED and ICU</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undergoing ETI in ED and ICU</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success rates in BAETI (80.4%) and non-BAETI (83.0%)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1B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32</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Japan</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209</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Normal airway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Medical students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maximum forces applied on tongue and incisors during laryngoscopy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lower tongue and incisor forces applied during laryngoscopy in the BAETI group </w:t>
            </w:r>
            <w:r w:rsidRPr="00143610">
              <w:rPr>
                <w:i/>
                <w:iCs/>
                <w:sz w:val="18"/>
                <w:szCs w:val="18"/>
              </w:rPr>
              <w:t>vs</w:t>
            </w:r>
            <w:r w:rsidRPr="00143610">
              <w:rPr>
                <w:sz w:val="18"/>
                <w:szCs w:val="18"/>
              </w:rPr>
              <w:t xml:space="preserve"> non-BAETI group</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33</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Australia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26</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DAM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and mean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success rates between BAETI (100%) and non-BAETI (92.9%) groups. Significantly longer time to completion in the BAETI group</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34</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Canada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103</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DAM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 (fiberoptic stylet)</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and mean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Similar success rates (Cormack grade IIIA) and mean times to completion between BAETI and fiberoptic stylet groups. Significantly lower success rate (Cormack IIIB) and significantly longer mean time to completion in the BAETI group </w:t>
            </w:r>
            <w:r w:rsidRPr="00143610">
              <w:rPr>
                <w:i/>
                <w:iCs/>
                <w:sz w:val="18"/>
                <w:szCs w:val="18"/>
              </w:rPr>
              <w:t>vs</w:t>
            </w:r>
            <w:r w:rsidRPr="00143610">
              <w:rPr>
                <w:sz w:val="18"/>
                <w:szCs w:val="18"/>
              </w:rPr>
              <w:t xml:space="preserve"> fiberoptic stylet group</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35</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35</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DAM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Paramedics, nurses, emergency 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and mean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(94%) than non-BAETI group (77%). Similar mean times to completion between the two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36</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96</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DAM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Paramedics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success rates between BAETI (71.9%) and non-BAETI (66.7%)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37</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21</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DAM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Emergency medicine residents and emergency physicians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median times to completion between BAETI (76 s) and non-BAETI (64 s)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38</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 study</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UK</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25</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ETI via intubating laryngeal mask</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Blind ETI using GEB</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Fiberscope-guided 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lower ETI success in blind ETI using GEB compared with fiberscope-guided technique</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39</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6938</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ED</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undergoing ETI in ED</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Augmented direct </w:t>
            </w:r>
            <w:proofErr w:type="spellStart"/>
            <w:r w:rsidRPr="00143610">
              <w:rPr>
                <w:sz w:val="18"/>
                <w:szCs w:val="18"/>
              </w:rPr>
              <w:t>laryngoscopy</w:t>
            </w:r>
            <w:r w:rsidRPr="00143610">
              <w:rPr>
                <w:sz w:val="18"/>
                <w:szCs w:val="18"/>
                <w:vertAlign w:val="superscript"/>
              </w:rPr>
              <w:t>b</w:t>
            </w:r>
            <w:proofErr w:type="spellEnd"/>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Video laryngoscopy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lower success rate in augmented direct </w:t>
            </w:r>
            <w:proofErr w:type="spellStart"/>
            <w:r w:rsidRPr="00143610">
              <w:rPr>
                <w:sz w:val="18"/>
                <w:szCs w:val="18"/>
              </w:rPr>
              <w:t>laryngoscopy</w:t>
            </w:r>
            <w:r w:rsidRPr="00143610">
              <w:rPr>
                <w:sz w:val="18"/>
                <w:szCs w:val="18"/>
                <w:vertAlign w:val="superscript"/>
              </w:rPr>
              <w:t>b</w:t>
            </w:r>
            <w:proofErr w:type="spellEnd"/>
            <w:r w:rsidRPr="00143610">
              <w:rPr>
                <w:sz w:val="18"/>
                <w:szCs w:val="18"/>
              </w:rPr>
              <w:t xml:space="preserve"> group (81.1%) than video laryngoscopy group (90.9%)</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40</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625</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ED</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pediatric patients (age &lt;16 years) undergoing ETI in ED</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Augmented direct </w:t>
            </w:r>
            <w:proofErr w:type="spellStart"/>
            <w:r w:rsidRPr="00143610">
              <w:rPr>
                <w:sz w:val="18"/>
                <w:szCs w:val="18"/>
              </w:rPr>
              <w:t>laryngoscopy</w:t>
            </w:r>
            <w:r w:rsidRPr="00143610">
              <w:rPr>
                <w:sz w:val="18"/>
                <w:szCs w:val="18"/>
                <w:vertAlign w:val="superscript"/>
              </w:rPr>
              <w:t>b</w:t>
            </w:r>
            <w:proofErr w:type="spellEnd"/>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Video laryngoscopy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lower success rate in augmented direct </w:t>
            </w:r>
            <w:proofErr w:type="spellStart"/>
            <w:r w:rsidRPr="00143610">
              <w:rPr>
                <w:sz w:val="18"/>
                <w:szCs w:val="18"/>
              </w:rPr>
              <w:t>laryngoscopy</w:t>
            </w:r>
            <w:r w:rsidRPr="00143610">
              <w:rPr>
                <w:sz w:val="18"/>
                <w:szCs w:val="18"/>
                <w:vertAlign w:val="superscript"/>
              </w:rPr>
              <w:t>b</w:t>
            </w:r>
            <w:proofErr w:type="spellEnd"/>
            <w:r w:rsidRPr="00143610">
              <w:rPr>
                <w:sz w:val="18"/>
                <w:szCs w:val="18"/>
              </w:rPr>
              <w:t xml:space="preserve"> group (74.5%) than video laryngoscopy group (84.0%).</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41</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Japan</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17</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CPR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and median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(96.0%) than non-BAETI group (72.0%). Similar median times to completion between the two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42</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Japan</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16</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Infant CPR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and median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(100%) than non-BAETI group (75.0%). Shorter median time to completion in BAETI group than non-BAETI group</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43</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Turkey</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40</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CPR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higher success rate in BAETI group (96%) than non-BAETI group (75%)</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44</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Turkey</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52</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CPR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Medical students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success rates in BAETI and non-BAETI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45</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20</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CPR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Emergency physicians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longer median time to completion in BAETI group </w:t>
            </w:r>
            <w:r w:rsidRPr="00143610">
              <w:rPr>
                <w:i/>
                <w:iCs/>
                <w:sz w:val="18"/>
                <w:szCs w:val="18"/>
              </w:rPr>
              <w:t>vs</w:t>
            </w:r>
            <w:r w:rsidRPr="00143610">
              <w:rPr>
                <w:sz w:val="18"/>
                <w:szCs w:val="18"/>
              </w:rPr>
              <w:t xml:space="preserve"> non-BAETI group</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46</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Turkey</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38</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Moving/ stationary ambulance</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Paramedics and paramedic students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Mean time to complete ETI</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Significantly longer mean time to completion in BAETI group than non-BAETI group in both moving and stationary ambulances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47</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Observational</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3004</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Prehospital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All patients with cardiopulmonary arrest undergoing prehospital 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ETI success rate on first attempt</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Similar success rates between BAETI (53.1%) and non-BAETI (42.8%)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2B</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48</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21</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Ovine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Residents and medical students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(rapid four-step technique)</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shorter median time to completion of surgical airway in BACT group (67 s) </w:t>
            </w:r>
            <w:r w:rsidRPr="00143610">
              <w:rPr>
                <w:i/>
                <w:iCs/>
                <w:sz w:val="18"/>
                <w:szCs w:val="18"/>
              </w:rPr>
              <w:t>vs</w:t>
            </w:r>
            <w:r w:rsidRPr="00143610">
              <w:rPr>
                <w:sz w:val="18"/>
                <w:szCs w:val="18"/>
              </w:rPr>
              <w:t xml:space="preserve"> non-BACT group (149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49</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23</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Ovine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Emergency medicine residents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(traditional cricothyroidotomy)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shorter median time to completion of surgical airway in BACT group (118 s) </w:t>
            </w:r>
            <w:r w:rsidRPr="00143610">
              <w:rPr>
                <w:i/>
                <w:iCs/>
                <w:sz w:val="18"/>
                <w:szCs w:val="18"/>
              </w:rPr>
              <w:t>vs</w:t>
            </w:r>
            <w:r w:rsidRPr="00143610">
              <w:rPr>
                <w:sz w:val="18"/>
                <w:szCs w:val="18"/>
              </w:rPr>
              <w:t xml:space="preserve"> non-BACT group (183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50</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UK</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26</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Porcine laryngeal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w:t>
            </w:r>
            <w:proofErr w:type="spellStart"/>
            <w:r w:rsidRPr="00143610">
              <w:rPr>
                <w:sz w:val="18"/>
                <w:szCs w:val="18"/>
              </w:rPr>
              <w:t>Surgicric</w:t>
            </w:r>
            <w:proofErr w:type="spellEnd"/>
            <w:r w:rsidRPr="00143610">
              <w:rPr>
                <w:sz w:val="18"/>
                <w:szCs w:val="18"/>
              </w:rPr>
              <w:t xml:space="preserve"> 2® and </w:t>
            </w:r>
            <w:proofErr w:type="spellStart"/>
            <w:r w:rsidRPr="00143610">
              <w:rPr>
                <w:sz w:val="18"/>
                <w:szCs w:val="18"/>
              </w:rPr>
              <w:t>Melker</w:t>
            </w:r>
            <w:proofErr w:type="spellEnd"/>
            <w:r w:rsidRPr="00143610">
              <w:rPr>
                <w:sz w:val="18"/>
                <w:szCs w:val="18"/>
              </w:rPr>
              <w:t xml:space="preserve"> kit®)</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shorter median time to completion of surgical airway in BACT group </w:t>
            </w:r>
            <w:r w:rsidRPr="00143610">
              <w:rPr>
                <w:i/>
                <w:iCs/>
                <w:sz w:val="18"/>
                <w:szCs w:val="18"/>
              </w:rPr>
              <w:t>vs</w:t>
            </w:r>
            <w:r w:rsidRPr="00143610">
              <w:rPr>
                <w:sz w:val="18"/>
                <w:szCs w:val="18"/>
              </w:rPr>
              <w:t xml:space="preserve"> the two other non-BACT groups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51</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UK</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26</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Obese porcine laryngeal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(traditional cricothyroidotomy)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Similar median time to completion of surgical airway in BACT group (84 s) </w:t>
            </w:r>
            <w:r w:rsidRPr="00143610">
              <w:rPr>
                <w:i/>
                <w:iCs/>
                <w:sz w:val="18"/>
                <w:szCs w:val="18"/>
              </w:rPr>
              <w:t>vs</w:t>
            </w:r>
            <w:r w:rsidRPr="00143610">
              <w:rPr>
                <w:sz w:val="18"/>
                <w:szCs w:val="18"/>
              </w:rPr>
              <w:t xml:space="preserve"> non-BACT group (85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52</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rFonts w:eastAsia="Yu Mincho"/>
                <w:sz w:val="18"/>
                <w:szCs w:val="18"/>
                <w:lang w:eastAsia="ja-JP"/>
              </w:rPr>
              <w:t>USA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12</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Normal airway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Paramedics and nurses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(traditional cricothyroidotomy)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shorter median time to completion of surgical airway in BACT group (52.1 s) </w:t>
            </w:r>
            <w:r w:rsidRPr="00143610">
              <w:rPr>
                <w:i/>
                <w:iCs/>
                <w:sz w:val="18"/>
                <w:szCs w:val="18"/>
              </w:rPr>
              <w:t>vs</w:t>
            </w:r>
            <w:r w:rsidRPr="00143610">
              <w:rPr>
                <w:sz w:val="18"/>
                <w:szCs w:val="18"/>
              </w:rPr>
              <w:t xml:space="preserve"> non-BACT group (87.3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53</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Singapore</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28</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Porcine laryngeal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(Melker kit®)</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shorter median time to completion of surgical airway in BACT group (45.2 s) </w:t>
            </w:r>
            <w:r w:rsidRPr="00143610">
              <w:rPr>
                <w:i/>
                <w:iCs/>
                <w:sz w:val="18"/>
                <w:szCs w:val="18"/>
              </w:rPr>
              <w:t>vs</w:t>
            </w:r>
            <w:r w:rsidRPr="00143610">
              <w:rPr>
                <w:sz w:val="18"/>
                <w:szCs w:val="18"/>
              </w:rPr>
              <w:t xml:space="preserve"> non-BACT group (101.3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54</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Australia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43</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Ovine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 emergency physicians, and ICU physicians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Needle cricothyroidotomy using 14-gauge needle</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longer median time to completion of surgical airway in BACT group (90 s) </w:t>
            </w:r>
            <w:r w:rsidRPr="00143610">
              <w:rPr>
                <w:i/>
                <w:iCs/>
                <w:sz w:val="18"/>
                <w:szCs w:val="18"/>
              </w:rPr>
              <w:t>vs</w:t>
            </w:r>
            <w:r w:rsidRPr="00143610">
              <w:rPr>
                <w:sz w:val="18"/>
                <w:szCs w:val="18"/>
              </w:rPr>
              <w:t xml:space="preserve"> needle cricothyroidotomy group (65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55</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Australia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35</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Ovine model (impalpable front-of-neck anatomy)</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(traditional cricothyroidotomy)</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Median time to complete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longer median time to completion of surgical airway in BACT group (113 s) </w:t>
            </w:r>
            <w:r w:rsidRPr="00143610">
              <w:rPr>
                <w:i/>
                <w:iCs/>
                <w:sz w:val="18"/>
                <w:szCs w:val="18"/>
              </w:rPr>
              <w:t>vs</w:t>
            </w:r>
            <w:r w:rsidRPr="00143610">
              <w:rPr>
                <w:sz w:val="18"/>
                <w:szCs w:val="18"/>
              </w:rPr>
              <w:t xml:space="preserve"> non-BACT group (96 s)</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56</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Norway</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20</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Porcine laryngeal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Non-BACT (</w:t>
            </w:r>
            <w:proofErr w:type="spellStart"/>
            <w:r w:rsidRPr="00143610">
              <w:rPr>
                <w:sz w:val="18"/>
                <w:szCs w:val="18"/>
              </w:rPr>
              <w:t>Portex</w:t>
            </w:r>
            <w:proofErr w:type="spellEnd"/>
            <w:r w:rsidRPr="00143610">
              <w:rPr>
                <w:sz w:val="18"/>
                <w:szCs w:val="18"/>
              </w:rPr>
              <w:t xml:space="preserve">™ </w:t>
            </w:r>
            <w:proofErr w:type="spellStart"/>
            <w:r w:rsidRPr="00143610">
              <w:rPr>
                <w:sz w:val="18"/>
                <w:szCs w:val="18"/>
              </w:rPr>
              <w:t>cricothyroidotomy</w:t>
            </w:r>
            <w:proofErr w:type="spellEnd"/>
            <w:r w:rsidRPr="00143610">
              <w:rPr>
                <w:sz w:val="18"/>
                <w:szCs w:val="18"/>
              </w:rPr>
              <w:t xml:space="preserve"> Kit)</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Success rate of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higher success rate of surgical airway in BACT group (95%) </w:t>
            </w:r>
            <w:r w:rsidRPr="00143610">
              <w:rPr>
                <w:i/>
                <w:iCs/>
                <w:sz w:val="18"/>
                <w:szCs w:val="18"/>
              </w:rPr>
              <w:t>vs</w:t>
            </w:r>
            <w:r w:rsidRPr="00143610">
              <w:rPr>
                <w:sz w:val="18"/>
                <w:szCs w:val="18"/>
              </w:rPr>
              <w:t xml:space="preserve"> non-BACT group (60%). Higher tracheal injury rate in non-BACT group (60%) compared with BACT group (0%)</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hideMark/>
          </w:tcPr>
          <w:p w:rsidR="00143610" w:rsidRPr="00143610" w:rsidRDefault="00143610" w:rsidP="0002518A">
            <w:pPr>
              <w:ind w:firstLine="360"/>
              <w:jc w:val="left"/>
              <w:rPr>
                <w:sz w:val="18"/>
                <w:szCs w:val="18"/>
              </w:rPr>
            </w:pPr>
            <w:r w:rsidRPr="00143610">
              <w:rPr>
                <w:sz w:val="18"/>
                <w:szCs w:val="18"/>
              </w:rPr>
              <w:t>57</w:t>
            </w:r>
          </w:p>
        </w:tc>
        <w:tc>
          <w:tcPr>
            <w:tcW w:w="1622" w:type="dxa"/>
            <w:noWrap/>
            <w:vAlign w:val="center"/>
            <w:hideMark/>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Slovenia</w:t>
            </w:r>
          </w:p>
        </w:tc>
        <w:tc>
          <w:tcPr>
            <w:tcW w:w="709" w:type="dxa"/>
            <w:noWrap/>
            <w:vAlign w:val="center"/>
            <w:hideMark/>
          </w:tcPr>
          <w:p w:rsidR="00143610" w:rsidRPr="00143610" w:rsidRDefault="00143610" w:rsidP="0002518A">
            <w:pPr>
              <w:ind w:firstLineChars="0" w:firstLine="0"/>
              <w:jc w:val="left"/>
              <w:rPr>
                <w:sz w:val="18"/>
                <w:szCs w:val="18"/>
              </w:rPr>
            </w:pPr>
            <w:r w:rsidRPr="00143610">
              <w:rPr>
                <w:sz w:val="18"/>
                <w:szCs w:val="18"/>
              </w:rPr>
              <w:t>23</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Porcine model</w:t>
            </w:r>
          </w:p>
        </w:tc>
        <w:tc>
          <w:tcPr>
            <w:tcW w:w="1653" w:type="dxa"/>
            <w:noWrap/>
            <w:vAlign w:val="center"/>
            <w:hideMark/>
          </w:tcPr>
          <w:p w:rsidR="00143610" w:rsidRPr="00143610" w:rsidRDefault="00143610" w:rsidP="0002518A">
            <w:pPr>
              <w:ind w:firstLineChars="0" w:firstLine="0"/>
              <w:jc w:val="left"/>
              <w:rPr>
                <w:sz w:val="18"/>
                <w:szCs w:val="18"/>
              </w:rPr>
            </w:pPr>
            <w:r w:rsidRPr="00143610">
              <w:rPr>
                <w:sz w:val="18"/>
                <w:szCs w:val="18"/>
              </w:rPr>
              <w:t>Anesthesiologists</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BACT</w:t>
            </w:r>
          </w:p>
        </w:tc>
        <w:tc>
          <w:tcPr>
            <w:tcW w:w="1276" w:type="dxa"/>
            <w:noWrap/>
            <w:vAlign w:val="center"/>
            <w:hideMark/>
          </w:tcPr>
          <w:p w:rsidR="00143610" w:rsidRPr="00143610" w:rsidRDefault="00143610" w:rsidP="0002518A">
            <w:pPr>
              <w:ind w:firstLineChars="0" w:firstLine="0"/>
              <w:jc w:val="left"/>
              <w:rPr>
                <w:sz w:val="18"/>
                <w:szCs w:val="18"/>
              </w:rPr>
            </w:pPr>
            <w:r w:rsidRPr="00143610">
              <w:rPr>
                <w:sz w:val="18"/>
                <w:szCs w:val="18"/>
              </w:rPr>
              <w:t>Needle cricothyroidotomy using 14-gauge needle</w:t>
            </w:r>
          </w:p>
        </w:tc>
        <w:tc>
          <w:tcPr>
            <w:tcW w:w="1701" w:type="dxa"/>
            <w:noWrap/>
            <w:vAlign w:val="center"/>
            <w:hideMark/>
          </w:tcPr>
          <w:p w:rsidR="00143610" w:rsidRPr="00143610" w:rsidRDefault="00143610" w:rsidP="0002518A">
            <w:pPr>
              <w:ind w:firstLineChars="0" w:firstLine="0"/>
              <w:jc w:val="left"/>
              <w:rPr>
                <w:sz w:val="18"/>
                <w:szCs w:val="18"/>
              </w:rPr>
            </w:pPr>
            <w:r w:rsidRPr="00143610">
              <w:rPr>
                <w:sz w:val="18"/>
                <w:szCs w:val="18"/>
              </w:rPr>
              <w:t>Maintenance of arterial oxygen saturation &gt;90% 5 min after surgical airway</w:t>
            </w:r>
          </w:p>
        </w:tc>
        <w:tc>
          <w:tcPr>
            <w:tcW w:w="2835" w:type="dxa"/>
            <w:noWrap/>
            <w:vAlign w:val="center"/>
            <w:hideMark/>
          </w:tcPr>
          <w:p w:rsidR="00143610" w:rsidRPr="00143610" w:rsidRDefault="00143610" w:rsidP="0002518A">
            <w:pPr>
              <w:ind w:firstLineChars="0" w:firstLine="0"/>
              <w:jc w:val="left"/>
              <w:rPr>
                <w:sz w:val="18"/>
                <w:szCs w:val="18"/>
              </w:rPr>
            </w:pPr>
            <w:r w:rsidRPr="00143610">
              <w:rPr>
                <w:sz w:val="18"/>
                <w:szCs w:val="18"/>
              </w:rPr>
              <w:t xml:space="preserve">Significantly higher rescue oxygenation success rate in BACT group (83%) </w:t>
            </w:r>
            <w:r w:rsidRPr="00143610">
              <w:rPr>
                <w:i/>
                <w:iCs/>
                <w:sz w:val="18"/>
                <w:szCs w:val="18"/>
              </w:rPr>
              <w:t>vs</w:t>
            </w:r>
            <w:r w:rsidRPr="00143610">
              <w:rPr>
                <w:sz w:val="18"/>
                <w:szCs w:val="18"/>
              </w:rPr>
              <w:t xml:space="preserve"> needle cricothyroidotomy group (18%)</w:t>
            </w:r>
          </w:p>
        </w:tc>
        <w:tc>
          <w:tcPr>
            <w:tcW w:w="992" w:type="dxa"/>
            <w:noWrap/>
            <w:vAlign w:val="center"/>
            <w:hideMark/>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tcPr>
          <w:p w:rsidR="00143610" w:rsidRPr="00143610" w:rsidRDefault="00143610" w:rsidP="0002518A">
            <w:pPr>
              <w:ind w:firstLine="360"/>
              <w:jc w:val="left"/>
              <w:rPr>
                <w:sz w:val="18"/>
                <w:szCs w:val="18"/>
              </w:rPr>
            </w:pPr>
            <w:r w:rsidRPr="00143610">
              <w:rPr>
                <w:sz w:val="18"/>
                <w:szCs w:val="18"/>
              </w:rPr>
              <w:t>58</w:t>
            </w:r>
          </w:p>
        </w:tc>
        <w:tc>
          <w:tcPr>
            <w:tcW w:w="1622" w:type="dxa"/>
            <w:noWrap/>
            <w:vAlign w:val="center"/>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Israel</w:t>
            </w:r>
          </w:p>
        </w:tc>
        <w:tc>
          <w:tcPr>
            <w:tcW w:w="709" w:type="dxa"/>
            <w:noWrap/>
            <w:vAlign w:val="center"/>
          </w:tcPr>
          <w:p w:rsidR="00143610" w:rsidRPr="00143610" w:rsidRDefault="00143610" w:rsidP="0002518A">
            <w:pPr>
              <w:ind w:firstLineChars="0" w:firstLine="0"/>
              <w:jc w:val="left"/>
              <w:rPr>
                <w:sz w:val="18"/>
                <w:szCs w:val="18"/>
              </w:rPr>
            </w:pPr>
            <w:r w:rsidRPr="00143610">
              <w:rPr>
                <w:sz w:val="18"/>
                <w:szCs w:val="18"/>
              </w:rPr>
              <w:t>50</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ETI on high-fidelity simulator while wearing PPE</w:t>
            </w:r>
          </w:p>
        </w:tc>
        <w:tc>
          <w:tcPr>
            <w:tcW w:w="1653" w:type="dxa"/>
            <w:noWrap/>
            <w:vAlign w:val="center"/>
          </w:tcPr>
          <w:p w:rsidR="00143610" w:rsidRPr="00143610" w:rsidRDefault="00143610" w:rsidP="0002518A">
            <w:pPr>
              <w:ind w:firstLineChars="0" w:firstLine="0"/>
              <w:jc w:val="left"/>
              <w:rPr>
                <w:sz w:val="18"/>
                <w:szCs w:val="18"/>
              </w:rPr>
            </w:pPr>
            <w:r w:rsidRPr="00143610">
              <w:rPr>
                <w:sz w:val="18"/>
                <w:szCs w:val="18"/>
              </w:rPr>
              <w:t>Military physicians and paramedics</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tcPr>
          <w:p w:rsidR="00143610" w:rsidRPr="00143610" w:rsidRDefault="00143610" w:rsidP="0002518A">
            <w:pPr>
              <w:ind w:firstLineChars="0" w:firstLine="0"/>
              <w:jc w:val="left"/>
              <w:rPr>
                <w:sz w:val="18"/>
                <w:szCs w:val="18"/>
              </w:rPr>
            </w:pPr>
            <w:r w:rsidRPr="00143610">
              <w:rPr>
                <w:sz w:val="18"/>
                <w:szCs w:val="18"/>
              </w:rPr>
              <w:t>ETI success rate and mean time to complete ETI</w:t>
            </w:r>
          </w:p>
        </w:tc>
        <w:tc>
          <w:tcPr>
            <w:tcW w:w="2835" w:type="dxa"/>
            <w:noWrap/>
            <w:vAlign w:val="center"/>
          </w:tcPr>
          <w:p w:rsidR="00143610" w:rsidRPr="00143610" w:rsidRDefault="00143610" w:rsidP="0002518A">
            <w:pPr>
              <w:ind w:firstLineChars="0" w:firstLine="0"/>
              <w:jc w:val="left"/>
              <w:rPr>
                <w:sz w:val="18"/>
                <w:szCs w:val="18"/>
              </w:rPr>
            </w:pPr>
            <w:r w:rsidRPr="00143610">
              <w:rPr>
                <w:sz w:val="18"/>
                <w:szCs w:val="18"/>
              </w:rPr>
              <w:t xml:space="preserve">Lower success rate (82% </w:t>
            </w:r>
            <w:r w:rsidRPr="00143610">
              <w:rPr>
                <w:i/>
                <w:iCs/>
                <w:sz w:val="18"/>
                <w:szCs w:val="18"/>
              </w:rPr>
              <w:t>vs</w:t>
            </w:r>
            <w:r w:rsidRPr="00143610">
              <w:rPr>
                <w:sz w:val="18"/>
                <w:szCs w:val="18"/>
              </w:rPr>
              <w:t xml:space="preserve"> 100%) higher mean time to completion (43.6 s </w:t>
            </w:r>
            <w:r w:rsidRPr="00143610">
              <w:rPr>
                <w:i/>
                <w:iCs/>
                <w:sz w:val="18"/>
                <w:szCs w:val="18"/>
              </w:rPr>
              <w:t>vs</w:t>
            </w:r>
            <w:r w:rsidRPr="00143610">
              <w:rPr>
                <w:sz w:val="18"/>
                <w:szCs w:val="18"/>
              </w:rPr>
              <w:t xml:space="preserve"> 23.1 s) in BAETI group </w:t>
            </w:r>
            <w:r w:rsidRPr="00143610">
              <w:rPr>
                <w:i/>
                <w:iCs/>
                <w:sz w:val="18"/>
                <w:szCs w:val="18"/>
              </w:rPr>
              <w:t>vs</w:t>
            </w:r>
            <w:r w:rsidRPr="00143610">
              <w:rPr>
                <w:sz w:val="18"/>
                <w:szCs w:val="18"/>
              </w:rPr>
              <w:t xml:space="preserve"> non-BAETI group while wearing PPE</w:t>
            </w:r>
          </w:p>
        </w:tc>
        <w:tc>
          <w:tcPr>
            <w:tcW w:w="992" w:type="dxa"/>
            <w:noWrap/>
            <w:vAlign w:val="center"/>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5</w:t>
            </w:r>
          </w:p>
        </w:tc>
      </w:tr>
      <w:tr w:rsidR="00143610" w:rsidRPr="00143610" w:rsidTr="0002518A">
        <w:trPr>
          <w:trHeight w:val="20"/>
        </w:trPr>
        <w:tc>
          <w:tcPr>
            <w:tcW w:w="1255" w:type="dxa"/>
            <w:noWrap/>
            <w:vAlign w:val="center"/>
          </w:tcPr>
          <w:p w:rsidR="00143610" w:rsidRPr="00143610" w:rsidRDefault="00143610" w:rsidP="0002518A">
            <w:pPr>
              <w:ind w:firstLine="360"/>
              <w:jc w:val="left"/>
              <w:rPr>
                <w:rFonts w:eastAsia="Yu Mincho"/>
                <w:sz w:val="18"/>
                <w:szCs w:val="18"/>
                <w:lang w:eastAsia="ja-JP"/>
              </w:rPr>
            </w:pPr>
            <w:r w:rsidRPr="00143610">
              <w:rPr>
                <w:rFonts w:eastAsia="Yu Mincho"/>
                <w:sz w:val="18"/>
                <w:szCs w:val="18"/>
                <w:lang w:eastAsia="ja-JP"/>
              </w:rPr>
              <w:t>59</w:t>
            </w:r>
          </w:p>
        </w:tc>
        <w:tc>
          <w:tcPr>
            <w:tcW w:w="1622" w:type="dxa"/>
            <w:noWrap/>
            <w:vAlign w:val="center"/>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Japan</w:t>
            </w:r>
          </w:p>
        </w:tc>
        <w:tc>
          <w:tcPr>
            <w:tcW w:w="709" w:type="dxa"/>
            <w:noWrap/>
            <w:vAlign w:val="center"/>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15</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Infant difficult airway model</w:t>
            </w:r>
          </w:p>
        </w:tc>
        <w:tc>
          <w:tcPr>
            <w:tcW w:w="1653" w:type="dxa"/>
            <w:noWrap/>
            <w:vAlign w:val="center"/>
          </w:tcPr>
          <w:p w:rsidR="00143610" w:rsidRPr="00143610" w:rsidRDefault="00143610" w:rsidP="0002518A">
            <w:pPr>
              <w:ind w:firstLineChars="0" w:firstLine="0"/>
              <w:jc w:val="left"/>
              <w:rPr>
                <w:sz w:val="18"/>
                <w:szCs w:val="18"/>
              </w:rPr>
            </w:pPr>
            <w:r w:rsidRPr="00143610">
              <w:rPr>
                <w:sz w:val="18"/>
                <w:szCs w:val="18"/>
              </w:rPr>
              <w:t>Anesthesiologist</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tcPr>
          <w:p w:rsidR="00143610" w:rsidRPr="00143610" w:rsidRDefault="00143610" w:rsidP="0002518A">
            <w:pPr>
              <w:ind w:firstLineChars="0" w:firstLine="0"/>
              <w:jc w:val="left"/>
              <w:rPr>
                <w:sz w:val="18"/>
                <w:szCs w:val="18"/>
              </w:rPr>
            </w:pPr>
            <w:r w:rsidRPr="00143610">
              <w:rPr>
                <w:sz w:val="18"/>
                <w:szCs w:val="18"/>
              </w:rPr>
              <w:t>ETI success rate and median time to complete ETI</w:t>
            </w:r>
          </w:p>
        </w:tc>
        <w:tc>
          <w:tcPr>
            <w:tcW w:w="2835" w:type="dxa"/>
            <w:noWrap/>
            <w:vAlign w:val="center"/>
          </w:tcPr>
          <w:p w:rsidR="00143610" w:rsidRPr="00143610" w:rsidRDefault="00143610" w:rsidP="0002518A">
            <w:pPr>
              <w:ind w:firstLineChars="0" w:firstLine="0"/>
              <w:jc w:val="left"/>
              <w:rPr>
                <w:sz w:val="18"/>
                <w:szCs w:val="18"/>
              </w:rPr>
            </w:pPr>
            <w:r w:rsidRPr="00143610">
              <w:rPr>
                <w:sz w:val="18"/>
                <w:szCs w:val="18"/>
              </w:rPr>
              <w:t>Significantly higher success rate in BAETI group (53%) than non-BAETI group (6.7%). Shorter median time to completion in BAETI group than non-BAETI group</w:t>
            </w:r>
          </w:p>
        </w:tc>
        <w:tc>
          <w:tcPr>
            <w:tcW w:w="992" w:type="dxa"/>
            <w:noWrap/>
            <w:vAlign w:val="center"/>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5</w:t>
            </w:r>
          </w:p>
        </w:tc>
      </w:tr>
      <w:tr w:rsidR="00143610" w:rsidRPr="00143610" w:rsidTr="0002518A">
        <w:trPr>
          <w:trHeight w:val="20"/>
        </w:trPr>
        <w:tc>
          <w:tcPr>
            <w:tcW w:w="1255" w:type="dxa"/>
            <w:noWrap/>
            <w:vAlign w:val="center"/>
          </w:tcPr>
          <w:p w:rsidR="00143610" w:rsidRPr="00143610" w:rsidRDefault="00143610" w:rsidP="0002518A">
            <w:pPr>
              <w:ind w:firstLine="360"/>
              <w:jc w:val="left"/>
              <w:rPr>
                <w:rFonts w:eastAsia="Yu Mincho"/>
                <w:sz w:val="18"/>
                <w:szCs w:val="18"/>
                <w:lang w:eastAsia="ja-JP"/>
              </w:rPr>
            </w:pPr>
            <w:r w:rsidRPr="00143610">
              <w:rPr>
                <w:rFonts w:eastAsia="Yu Mincho"/>
                <w:sz w:val="18"/>
                <w:szCs w:val="18"/>
                <w:lang w:eastAsia="ja-JP"/>
              </w:rPr>
              <w:t>60</w:t>
            </w:r>
          </w:p>
        </w:tc>
        <w:tc>
          <w:tcPr>
            <w:tcW w:w="1622" w:type="dxa"/>
            <w:noWrap/>
            <w:vAlign w:val="center"/>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Japan</w:t>
            </w:r>
          </w:p>
        </w:tc>
        <w:tc>
          <w:tcPr>
            <w:tcW w:w="709" w:type="dxa"/>
            <w:noWrap/>
            <w:vAlign w:val="center"/>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17</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Pierre Robin manikin (congenital difficult airway model)</w:t>
            </w:r>
          </w:p>
        </w:tc>
        <w:tc>
          <w:tcPr>
            <w:tcW w:w="1653" w:type="dxa"/>
            <w:noWrap/>
            <w:vAlign w:val="center"/>
          </w:tcPr>
          <w:p w:rsidR="00143610" w:rsidRPr="00143610" w:rsidRDefault="00143610" w:rsidP="0002518A">
            <w:pPr>
              <w:ind w:firstLineChars="0" w:firstLine="0"/>
              <w:jc w:val="left"/>
              <w:rPr>
                <w:sz w:val="18"/>
                <w:szCs w:val="18"/>
              </w:rPr>
            </w:pPr>
            <w:r w:rsidRPr="00143610">
              <w:rPr>
                <w:sz w:val="18"/>
                <w:szCs w:val="18"/>
              </w:rPr>
              <w:t>Anesthesiologist</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tcPr>
          <w:p w:rsidR="00143610" w:rsidRPr="00143610" w:rsidRDefault="00143610" w:rsidP="0002518A">
            <w:pPr>
              <w:ind w:firstLineChars="0" w:firstLine="0"/>
              <w:jc w:val="left"/>
              <w:rPr>
                <w:sz w:val="18"/>
                <w:szCs w:val="18"/>
              </w:rPr>
            </w:pPr>
            <w:r w:rsidRPr="00143610">
              <w:rPr>
                <w:sz w:val="18"/>
                <w:szCs w:val="18"/>
              </w:rPr>
              <w:t>ETI success rate and median time to complete ETI</w:t>
            </w:r>
          </w:p>
        </w:tc>
        <w:tc>
          <w:tcPr>
            <w:tcW w:w="2835" w:type="dxa"/>
            <w:noWrap/>
            <w:vAlign w:val="center"/>
          </w:tcPr>
          <w:p w:rsidR="00143610" w:rsidRPr="00143610" w:rsidRDefault="00143610" w:rsidP="0002518A">
            <w:pPr>
              <w:ind w:firstLineChars="0" w:firstLine="0"/>
              <w:jc w:val="left"/>
              <w:rPr>
                <w:sz w:val="18"/>
                <w:szCs w:val="18"/>
              </w:rPr>
            </w:pPr>
            <w:r w:rsidRPr="00143610">
              <w:rPr>
                <w:sz w:val="18"/>
                <w:szCs w:val="18"/>
              </w:rPr>
              <w:t>Significantly higher success rate in BAETI group (100%) than non-BAETI group (65%). Shorter median time to completion in BAETI group than non-BAETI group</w:t>
            </w:r>
          </w:p>
        </w:tc>
        <w:tc>
          <w:tcPr>
            <w:tcW w:w="992" w:type="dxa"/>
            <w:noWrap/>
            <w:vAlign w:val="center"/>
          </w:tcPr>
          <w:p w:rsidR="00143610" w:rsidRPr="00143610" w:rsidRDefault="00143610" w:rsidP="0002518A">
            <w:pPr>
              <w:ind w:firstLineChars="0" w:firstLine="0"/>
              <w:jc w:val="left"/>
              <w:rPr>
                <w:rFonts w:eastAsia="Yu Mincho"/>
                <w:sz w:val="18"/>
                <w:szCs w:val="18"/>
                <w:lang w:eastAsia="ja-JP"/>
              </w:rPr>
            </w:pPr>
            <w:r w:rsidRPr="00143610">
              <w:rPr>
                <w:rFonts w:eastAsia="Yu Mincho"/>
                <w:sz w:val="18"/>
                <w:szCs w:val="18"/>
                <w:lang w:eastAsia="ja-JP"/>
              </w:rPr>
              <w:t>5</w:t>
            </w:r>
          </w:p>
        </w:tc>
      </w:tr>
      <w:tr w:rsidR="00143610" w:rsidRPr="00143610" w:rsidTr="0002518A">
        <w:trPr>
          <w:trHeight w:val="20"/>
        </w:trPr>
        <w:tc>
          <w:tcPr>
            <w:tcW w:w="1255" w:type="dxa"/>
            <w:noWrap/>
            <w:vAlign w:val="center"/>
          </w:tcPr>
          <w:p w:rsidR="00143610" w:rsidRPr="00143610" w:rsidRDefault="00143610" w:rsidP="0002518A">
            <w:pPr>
              <w:ind w:firstLine="360"/>
              <w:jc w:val="left"/>
              <w:rPr>
                <w:sz w:val="18"/>
                <w:szCs w:val="18"/>
              </w:rPr>
            </w:pPr>
            <w:r w:rsidRPr="00143610">
              <w:rPr>
                <w:sz w:val="18"/>
                <w:szCs w:val="18"/>
              </w:rPr>
              <w:t>61</w:t>
            </w:r>
          </w:p>
        </w:tc>
        <w:tc>
          <w:tcPr>
            <w:tcW w:w="1622" w:type="dxa"/>
            <w:noWrap/>
            <w:vAlign w:val="center"/>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Turkey</w:t>
            </w:r>
          </w:p>
        </w:tc>
        <w:tc>
          <w:tcPr>
            <w:tcW w:w="709" w:type="dxa"/>
            <w:noWrap/>
            <w:vAlign w:val="center"/>
          </w:tcPr>
          <w:p w:rsidR="00143610" w:rsidRPr="00143610" w:rsidRDefault="00143610" w:rsidP="0002518A">
            <w:pPr>
              <w:ind w:firstLineChars="0" w:firstLine="0"/>
              <w:jc w:val="left"/>
              <w:rPr>
                <w:sz w:val="18"/>
                <w:szCs w:val="18"/>
              </w:rPr>
            </w:pPr>
            <w:r w:rsidRPr="00143610">
              <w:rPr>
                <w:sz w:val="18"/>
                <w:szCs w:val="18"/>
              </w:rPr>
              <w:t>46</w:t>
            </w:r>
          </w:p>
        </w:tc>
        <w:tc>
          <w:tcPr>
            <w:tcW w:w="1276" w:type="dxa"/>
            <w:noWrap/>
            <w:vAlign w:val="center"/>
          </w:tcPr>
          <w:p w:rsidR="00143610" w:rsidRPr="00143610" w:rsidRDefault="00143610" w:rsidP="0002518A">
            <w:pPr>
              <w:ind w:firstLineChars="0" w:firstLine="0"/>
              <w:jc w:val="left"/>
              <w:rPr>
                <w:sz w:val="18"/>
                <w:szCs w:val="18"/>
              </w:rPr>
            </w:pPr>
            <w:r w:rsidRPr="00143610">
              <w:rPr>
                <w:rFonts w:eastAsia="MS Mincho"/>
                <w:sz w:val="18"/>
                <w:szCs w:val="18"/>
              </w:rPr>
              <w:t>Simulated</w:t>
            </w:r>
            <w:r w:rsidRPr="00143610">
              <w:rPr>
                <w:sz w:val="18"/>
                <w:szCs w:val="18"/>
              </w:rPr>
              <w:t xml:space="preserve"> selective lung ventilation</w:t>
            </w:r>
          </w:p>
        </w:tc>
        <w:tc>
          <w:tcPr>
            <w:tcW w:w="1653" w:type="dxa"/>
            <w:noWrap/>
            <w:vAlign w:val="center"/>
          </w:tcPr>
          <w:p w:rsidR="00143610" w:rsidRPr="00143610" w:rsidRDefault="00143610" w:rsidP="0002518A">
            <w:pPr>
              <w:ind w:firstLineChars="0" w:firstLine="0"/>
              <w:jc w:val="left"/>
              <w:rPr>
                <w:sz w:val="18"/>
                <w:szCs w:val="18"/>
              </w:rPr>
            </w:pPr>
            <w:r w:rsidRPr="00143610">
              <w:rPr>
                <w:sz w:val="18"/>
                <w:szCs w:val="18"/>
              </w:rPr>
              <w:t>Emergency physicians</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tcPr>
          <w:p w:rsidR="00143610" w:rsidRPr="00143610" w:rsidRDefault="00143610" w:rsidP="0002518A">
            <w:pPr>
              <w:ind w:firstLineChars="0" w:firstLine="0"/>
              <w:jc w:val="left"/>
              <w:rPr>
                <w:sz w:val="18"/>
                <w:szCs w:val="18"/>
              </w:rPr>
            </w:pPr>
            <w:r w:rsidRPr="00143610">
              <w:rPr>
                <w:sz w:val="18"/>
                <w:szCs w:val="18"/>
              </w:rPr>
              <w:t>Mean time to the first successful ventilation</w:t>
            </w:r>
          </w:p>
        </w:tc>
        <w:tc>
          <w:tcPr>
            <w:tcW w:w="2835" w:type="dxa"/>
            <w:noWrap/>
            <w:vAlign w:val="center"/>
          </w:tcPr>
          <w:p w:rsidR="00143610" w:rsidRPr="00143610" w:rsidRDefault="00143610" w:rsidP="0002518A">
            <w:pPr>
              <w:ind w:firstLineChars="0" w:firstLine="0"/>
              <w:jc w:val="left"/>
              <w:rPr>
                <w:sz w:val="18"/>
                <w:szCs w:val="18"/>
              </w:rPr>
            </w:pPr>
            <w:r w:rsidRPr="00143610">
              <w:rPr>
                <w:sz w:val="18"/>
                <w:szCs w:val="18"/>
              </w:rPr>
              <w:t xml:space="preserve">Significantly longer mean time to ventilation for both right and left lung in BAETI group </w:t>
            </w:r>
            <w:r w:rsidRPr="00143610">
              <w:rPr>
                <w:i/>
                <w:iCs/>
                <w:sz w:val="18"/>
                <w:szCs w:val="18"/>
              </w:rPr>
              <w:t>vs</w:t>
            </w:r>
            <w:r w:rsidRPr="00143610">
              <w:rPr>
                <w:sz w:val="18"/>
                <w:szCs w:val="18"/>
              </w:rPr>
              <w:t xml:space="preserve"> non-BAETI group</w:t>
            </w:r>
          </w:p>
        </w:tc>
        <w:tc>
          <w:tcPr>
            <w:tcW w:w="992" w:type="dxa"/>
            <w:noWrap/>
            <w:vAlign w:val="center"/>
          </w:tcPr>
          <w:p w:rsidR="00143610" w:rsidRPr="00143610" w:rsidRDefault="00143610" w:rsidP="0002518A">
            <w:pPr>
              <w:ind w:firstLineChars="0" w:firstLine="0"/>
              <w:jc w:val="left"/>
              <w:rPr>
                <w:sz w:val="18"/>
                <w:szCs w:val="18"/>
              </w:rPr>
            </w:pPr>
            <w:r w:rsidRPr="00143610">
              <w:rPr>
                <w:sz w:val="18"/>
                <w:szCs w:val="18"/>
              </w:rPr>
              <w:t>5</w:t>
            </w:r>
          </w:p>
        </w:tc>
      </w:tr>
      <w:tr w:rsidR="00143610" w:rsidRPr="00143610" w:rsidTr="0002518A">
        <w:trPr>
          <w:trHeight w:val="20"/>
        </w:trPr>
        <w:tc>
          <w:tcPr>
            <w:tcW w:w="1255" w:type="dxa"/>
            <w:noWrap/>
            <w:vAlign w:val="center"/>
          </w:tcPr>
          <w:p w:rsidR="00143610" w:rsidRPr="00143610" w:rsidRDefault="00143610" w:rsidP="0002518A">
            <w:pPr>
              <w:ind w:firstLine="360"/>
              <w:jc w:val="left"/>
              <w:rPr>
                <w:rFonts w:eastAsia="Yu Mincho"/>
                <w:sz w:val="18"/>
                <w:szCs w:val="18"/>
                <w:lang w:eastAsia="ja-JP"/>
              </w:rPr>
            </w:pPr>
            <w:r w:rsidRPr="00143610">
              <w:rPr>
                <w:rFonts w:eastAsia="Yu Mincho"/>
                <w:sz w:val="18"/>
                <w:szCs w:val="18"/>
                <w:lang w:eastAsia="ja-JP"/>
              </w:rPr>
              <w:t>62</w:t>
            </w:r>
          </w:p>
        </w:tc>
        <w:tc>
          <w:tcPr>
            <w:tcW w:w="1622" w:type="dxa"/>
            <w:noWrap/>
            <w:vAlign w:val="center"/>
          </w:tcPr>
          <w:p w:rsidR="00143610" w:rsidRPr="00143610" w:rsidRDefault="00143610" w:rsidP="0002518A">
            <w:pPr>
              <w:ind w:firstLineChars="0" w:firstLine="0"/>
              <w:jc w:val="left"/>
              <w:rPr>
                <w:sz w:val="18"/>
                <w:szCs w:val="18"/>
              </w:rPr>
            </w:pPr>
            <w:r w:rsidRPr="00143610">
              <w:rPr>
                <w:sz w:val="18"/>
                <w:szCs w:val="18"/>
              </w:rPr>
              <w:t>Simulation</w:t>
            </w:r>
          </w:p>
        </w:tc>
        <w:tc>
          <w:tcPr>
            <w:tcW w:w="958" w:type="dxa"/>
          </w:tcPr>
          <w:p w:rsidR="00143610" w:rsidRPr="00143610" w:rsidRDefault="00143610" w:rsidP="0002518A">
            <w:pPr>
              <w:ind w:firstLineChars="0" w:firstLine="0"/>
              <w:jc w:val="left"/>
              <w:rPr>
                <w:sz w:val="18"/>
                <w:szCs w:val="18"/>
              </w:rPr>
            </w:pPr>
            <w:r w:rsidRPr="00143610">
              <w:rPr>
                <w:sz w:val="18"/>
                <w:szCs w:val="18"/>
              </w:rPr>
              <w:t>Japan</w:t>
            </w:r>
          </w:p>
        </w:tc>
        <w:tc>
          <w:tcPr>
            <w:tcW w:w="709" w:type="dxa"/>
            <w:noWrap/>
            <w:vAlign w:val="center"/>
          </w:tcPr>
          <w:p w:rsidR="00143610" w:rsidRPr="00143610" w:rsidRDefault="00143610" w:rsidP="0002518A">
            <w:pPr>
              <w:ind w:firstLineChars="0" w:firstLine="0"/>
              <w:jc w:val="left"/>
              <w:rPr>
                <w:sz w:val="18"/>
                <w:szCs w:val="18"/>
              </w:rPr>
            </w:pPr>
            <w:r w:rsidRPr="00143610">
              <w:rPr>
                <w:sz w:val="18"/>
                <w:szCs w:val="18"/>
              </w:rPr>
              <w:t>16</w:t>
            </w:r>
          </w:p>
        </w:tc>
        <w:tc>
          <w:tcPr>
            <w:tcW w:w="1276" w:type="dxa"/>
            <w:noWrap/>
            <w:vAlign w:val="center"/>
          </w:tcPr>
          <w:p w:rsidR="00143610" w:rsidRPr="00143610" w:rsidRDefault="00143610" w:rsidP="0002518A">
            <w:pPr>
              <w:ind w:firstLineChars="0" w:firstLine="0"/>
              <w:jc w:val="left"/>
              <w:rPr>
                <w:rFonts w:eastAsiaTheme="minorEastAsia"/>
                <w:sz w:val="18"/>
                <w:szCs w:val="18"/>
              </w:rPr>
            </w:pPr>
            <w:r w:rsidRPr="00143610">
              <w:rPr>
                <w:rFonts w:eastAsia="MS Mincho"/>
                <w:sz w:val="18"/>
                <w:szCs w:val="18"/>
              </w:rPr>
              <w:t>Normal and vomitus settings</w:t>
            </w:r>
          </w:p>
        </w:tc>
        <w:tc>
          <w:tcPr>
            <w:tcW w:w="1653" w:type="dxa"/>
            <w:noWrap/>
            <w:vAlign w:val="center"/>
          </w:tcPr>
          <w:p w:rsidR="00143610" w:rsidRPr="00143610" w:rsidRDefault="00143610" w:rsidP="0002518A">
            <w:pPr>
              <w:ind w:firstLineChars="0" w:firstLine="0"/>
              <w:jc w:val="left"/>
              <w:rPr>
                <w:sz w:val="18"/>
                <w:szCs w:val="18"/>
              </w:rPr>
            </w:pPr>
            <w:r w:rsidRPr="00143610">
              <w:rPr>
                <w:sz w:val="18"/>
                <w:szCs w:val="18"/>
              </w:rPr>
              <w:t>Residents</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BAETI</w:t>
            </w:r>
          </w:p>
        </w:tc>
        <w:tc>
          <w:tcPr>
            <w:tcW w:w="1276" w:type="dxa"/>
            <w:noWrap/>
            <w:vAlign w:val="center"/>
          </w:tcPr>
          <w:p w:rsidR="00143610" w:rsidRPr="00143610" w:rsidRDefault="00143610" w:rsidP="0002518A">
            <w:pPr>
              <w:ind w:firstLineChars="0" w:firstLine="0"/>
              <w:jc w:val="left"/>
              <w:rPr>
                <w:sz w:val="18"/>
                <w:szCs w:val="18"/>
              </w:rPr>
            </w:pPr>
            <w:r w:rsidRPr="00143610">
              <w:rPr>
                <w:sz w:val="18"/>
                <w:szCs w:val="18"/>
              </w:rPr>
              <w:t>Non-BAETI</w:t>
            </w:r>
          </w:p>
        </w:tc>
        <w:tc>
          <w:tcPr>
            <w:tcW w:w="1701" w:type="dxa"/>
            <w:noWrap/>
            <w:vAlign w:val="center"/>
          </w:tcPr>
          <w:p w:rsidR="00143610" w:rsidRPr="00143610" w:rsidRDefault="00143610" w:rsidP="0002518A">
            <w:pPr>
              <w:ind w:firstLineChars="0" w:firstLine="0"/>
              <w:jc w:val="left"/>
              <w:rPr>
                <w:sz w:val="18"/>
                <w:szCs w:val="18"/>
              </w:rPr>
            </w:pPr>
            <w:r w:rsidRPr="00143610">
              <w:rPr>
                <w:sz w:val="18"/>
                <w:szCs w:val="18"/>
              </w:rPr>
              <w:t>Median time to complete ETI</w:t>
            </w:r>
          </w:p>
        </w:tc>
        <w:tc>
          <w:tcPr>
            <w:tcW w:w="2835" w:type="dxa"/>
            <w:noWrap/>
            <w:vAlign w:val="center"/>
          </w:tcPr>
          <w:p w:rsidR="00143610" w:rsidRPr="00143610" w:rsidRDefault="00143610" w:rsidP="0002518A">
            <w:pPr>
              <w:ind w:firstLineChars="0" w:firstLine="0"/>
              <w:jc w:val="left"/>
              <w:rPr>
                <w:sz w:val="18"/>
                <w:szCs w:val="18"/>
              </w:rPr>
            </w:pPr>
            <w:r w:rsidRPr="00143610">
              <w:rPr>
                <w:sz w:val="18"/>
                <w:szCs w:val="18"/>
              </w:rPr>
              <w:t xml:space="preserve">GEB use significantly lengthened the median intubation time in direct laryngoscope, Pentax-AWS </w:t>
            </w:r>
            <w:proofErr w:type="spellStart"/>
            <w:r w:rsidRPr="00143610">
              <w:rPr>
                <w:sz w:val="18"/>
                <w:szCs w:val="18"/>
              </w:rPr>
              <w:t>Airwayscope</w:t>
            </w:r>
            <w:proofErr w:type="spellEnd"/>
            <w:r w:rsidRPr="00143610">
              <w:rPr>
                <w:sz w:val="18"/>
                <w:szCs w:val="18"/>
              </w:rPr>
              <w:t xml:space="preserve">®, and </w:t>
            </w:r>
            <w:proofErr w:type="spellStart"/>
            <w:r w:rsidRPr="00143610">
              <w:rPr>
                <w:sz w:val="18"/>
                <w:szCs w:val="18"/>
              </w:rPr>
              <w:t>McGRATH</w:t>
            </w:r>
            <w:proofErr w:type="spellEnd"/>
            <w:r w:rsidRPr="00143610">
              <w:rPr>
                <w:sz w:val="18"/>
                <w:szCs w:val="18"/>
              </w:rPr>
              <w:t>® MAC groups in the normal setting, but significantly shortened the intubation time with all three laryngoscopes in the vomitus setting</w:t>
            </w:r>
          </w:p>
        </w:tc>
        <w:tc>
          <w:tcPr>
            <w:tcW w:w="992" w:type="dxa"/>
            <w:noWrap/>
            <w:vAlign w:val="center"/>
          </w:tcPr>
          <w:p w:rsidR="00143610" w:rsidRPr="00143610" w:rsidRDefault="00143610" w:rsidP="0002518A">
            <w:pPr>
              <w:ind w:firstLineChars="0" w:firstLine="0"/>
              <w:jc w:val="left"/>
              <w:rPr>
                <w:sz w:val="18"/>
                <w:szCs w:val="18"/>
              </w:rPr>
            </w:pPr>
            <w:r w:rsidRPr="00143610">
              <w:rPr>
                <w:sz w:val="18"/>
                <w:szCs w:val="18"/>
              </w:rPr>
              <w:t>5</w:t>
            </w:r>
          </w:p>
        </w:tc>
      </w:tr>
      <w:bookmarkEnd w:id="1"/>
    </w:tbl>
    <w:p w:rsidR="00143610" w:rsidRDefault="00143610" w:rsidP="00143610">
      <w:pPr>
        <w:adjustRightInd w:val="0"/>
        <w:snapToGrid w:val="0"/>
        <w:spacing w:line="288" w:lineRule="auto"/>
        <w:ind w:firstLineChars="0" w:firstLine="0"/>
        <w:rPr>
          <w:rFonts w:eastAsia="宋体"/>
          <w:sz w:val="18"/>
          <w:szCs w:val="18"/>
          <w:vertAlign w:val="superscript"/>
        </w:rPr>
      </w:pPr>
    </w:p>
    <w:p w:rsidR="00143610" w:rsidRPr="00F56101" w:rsidRDefault="00143610" w:rsidP="00143610">
      <w:pPr>
        <w:adjustRightInd w:val="0"/>
        <w:snapToGrid w:val="0"/>
        <w:spacing w:line="288" w:lineRule="auto"/>
        <w:ind w:firstLineChars="0" w:firstLine="0"/>
        <w:rPr>
          <w:rFonts w:eastAsia="宋体"/>
          <w:sz w:val="18"/>
          <w:szCs w:val="18"/>
        </w:rPr>
      </w:pPr>
      <w:proofErr w:type="spellStart"/>
      <w:r w:rsidRPr="00F56101">
        <w:rPr>
          <w:rFonts w:eastAsia="宋体"/>
          <w:sz w:val="18"/>
          <w:szCs w:val="18"/>
          <w:vertAlign w:val="superscript"/>
        </w:rPr>
        <w:t>a</w:t>
      </w:r>
      <w:r w:rsidRPr="00F56101">
        <w:rPr>
          <w:rFonts w:eastAsia="宋体"/>
          <w:sz w:val="18"/>
          <w:szCs w:val="18"/>
        </w:rPr>
        <w:t>LOE</w:t>
      </w:r>
      <w:proofErr w:type="spellEnd"/>
      <w:r w:rsidRPr="00F56101">
        <w:rPr>
          <w:rFonts w:eastAsia="宋体"/>
          <w:sz w:val="18"/>
          <w:szCs w:val="18"/>
        </w:rPr>
        <w:t xml:space="preserve"> according to the Oxford Centre for Evidence-Based Medicine [63].</w:t>
      </w:r>
    </w:p>
    <w:p w:rsidR="00143610" w:rsidRPr="00F56101" w:rsidRDefault="00143610" w:rsidP="00143610">
      <w:pPr>
        <w:adjustRightInd w:val="0"/>
        <w:snapToGrid w:val="0"/>
        <w:spacing w:line="288" w:lineRule="auto"/>
        <w:ind w:firstLineChars="0" w:firstLine="0"/>
        <w:rPr>
          <w:rFonts w:eastAsia="宋体"/>
          <w:sz w:val="18"/>
          <w:szCs w:val="18"/>
        </w:rPr>
      </w:pPr>
      <w:proofErr w:type="spellStart"/>
      <w:r w:rsidRPr="00F56101">
        <w:rPr>
          <w:rFonts w:eastAsia="宋体"/>
          <w:sz w:val="18"/>
          <w:szCs w:val="18"/>
          <w:vertAlign w:val="superscript"/>
        </w:rPr>
        <w:t>b</w:t>
      </w:r>
      <w:r w:rsidRPr="00F56101">
        <w:rPr>
          <w:rFonts w:eastAsia="宋体"/>
          <w:sz w:val="18"/>
          <w:szCs w:val="18"/>
        </w:rPr>
        <w:t>Optimized</w:t>
      </w:r>
      <w:proofErr w:type="spellEnd"/>
      <w:r w:rsidRPr="00F56101">
        <w:rPr>
          <w:rFonts w:eastAsia="宋体"/>
          <w:sz w:val="18"/>
          <w:szCs w:val="18"/>
        </w:rPr>
        <w:t xml:space="preserve"> direct </w:t>
      </w:r>
      <w:proofErr w:type="spellStart"/>
      <w:r w:rsidRPr="00F56101">
        <w:rPr>
          <w:rFonts w:eastAsia="宋体"/>
          <w:sz w:val="18"/>
          <w:szCs w:val="18"/>
        </w:rPr>
        <w:t>laryngoscopic</w:t>
      </w:r>
      <w:proofErr w:type="spellEnd"/>
      <w:r w:rsidRPr="00F56101">
        <w:rPr>
          <w:rFonts w:eastAsia="宋体"/>
          <w:sz w:val="18"/>
          <w:szCs w:val="18"/>
        </w:rPr>
        <w:t xml:space="preserve"> view by maneuvers such as optimal external laryngeal manipulation, upright or ramped positioning, or GEB use.</w:t>
      </w:r>
    </w:p>
    <w:p w:rsidR="00143610" w:rsidRPr="00F56101" w:rsidRDefault="00143610" w:rsidP="00143610">
      <w:pPr>
        <w:adjustRightInd w:val="0"/>
        <w:snapToGrid w:val="0"/>
        <w:spacing w:line="288" w:lineRule="auto"/>
        <w:ind w:firstLineChars="0" w:firstLine="0"/>
        <w:rPr>
          <w:rFonts w:eastAsia="宋体"/>
          <w:sz w:val="18"/>
          <w:szCs w:val="18"/>
        </w:rPr>
      </w:pPr>
      <w:r w:rsidRPr="00F56101">
        <w:rPr>
          <w:rFonts w:eastAsia="宋体"/>
          <w:sz w:val="18"/>
          <w:szCs w:val="18"/>
        </w:rPr>
        <w:t>BACT, bougie-assisted emergency surgical cricothyrotomy technique; BAETI, bougie-assisted endotracheal intubation; CPR, cardiopulmonary resuscitation; ED, emergency department; ETI, endotracheal intubation; GEB, gum elastic bougie; DAM, difficult airway management; ICU, intensive care unit; LOE, level of evidence; PPE, personal protective equipment; RCT, randomized controlled trial; s, seconds; vs, versus.</w:t>
      </w:r>
    </w:p>
    <w:p w:rsidR="00143610" w:rsidRPr="00143610" w:rsidRDefault="00143610">
      <w:pPr>
        <w:ind w:firstLine="420"/>
        <w:rPr>
          <w:rFonts w:eastAsia="等线"/>
        </w:rPr>
      </w:pPr>
    </w:p>
    <w:sectPr w:rsidR="00143610" w:rsidRPr="00143610" w:rsidSect="00143610">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0"/>
    <w:rsid w:val="00071842"/>
    <w:rsid w:val="00143610"/>
    <w:rsid w:val="0040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F9DFF"/>
  <w15:chartTrackingRefBased/>
  <w15:docId w15:val="{316BE4EA-0971-4A45-B8E6-CE2F582E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610"/>
    <w:pPr>
      <w:widowControl w:val="0"/>
      <w:ind w:firstLineChars="200" w:firstLine="200"/>
      <w:jc w:val="both"/>
    </w:pPr>
    <w:rPr>
      <w:rFonts w:ascii="Times New Roman" w:eastAsia="Times New Roman" w:hAnsi="Times New Roman" w:cs="Times New Roman"/>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43610"/>
    <w:rPr>
      <w:rFonts w:ascii="等线" w:eastAsia="等线" w:hAnsi="等线"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题"/>
    <w:basedOn w:val="a"/>
    <w:qFormat/>
    <w:rsid w:val="00143610"/>
    <w:pPr>
      <w:spacing w:beforeLines="100" w:before="312" w:afterLines="100" w:after="312"/>
      <w:ind w:firstLineChars="0" w:firstLine="0"/>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1521</Words>
  <Characters>8609</Characters>
  <Application>Microsoft Office Word</Application>
  <DocSecurity>0</DocSecurity>
  <Lines>121</Lines>
  <Paragraphs>40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雄康</dc:creator>
  <cp:keywords/>
  <dc:description/>
  <cp:lastModifiedBy>editor</cp:lastModifiedBy>
  <cp:revision>2</cp:revision>
  <dcterms:created xsi:type="dcterms:W3CDTF">2023-03-22T13:02:00Z</dcterms:created>
  <dcterms:modified xsi:type="dcterms:W3CDTF">2023-03-29T06:16:00Z</dcterms:modified>
</cp:coreProperties>
</file>